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CB4" w:rsidRPr="00442CB4" w:rsidRDefault="00442CB4" w:rsidP="00442CB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it-IT"/>
        </w:rPr>
      </w:pPr>
      <w:bookmarkStart w:id="0" w:name="_GoBack"/>
      <w:bookmarkEnd w:id="0"/>
      <w:r w:rsidRPr="00442CB4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it-IT"/>
        </w:rPr>
        <w:t>Stralcio tratto da: Guida al Lavoro</w:t>
      </w:r>
      <w:r w:rsidRPr="00442CB4">
        <w:rPr>
          <w:rFonts w:ascii="Verdana" w:eastAsia="Times New Roman" w:hAnsi="Verdana" w:cs="Times New Roman"/>
          <w:color w:val="333333"/>
          <w:sz w:val="17"/>
          <w:szCs w:val="17"/>
          <w:lang w:eastAsia="it-IT"/>
        </w:rPr>
        <w:t xml:space="preserve">, n° 31, del 27/07/2012, pag. 61 </w:t>
      </w:r>
    </w:p>
    <w:p w:rsidR="00442CB4" w:rsidRPr="00442CB4" w:rsidRDefault="00442CB4" w:rsidP="00442CB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it-IT"/>
        </w:rPr>
      </w:pPr>
      <w:r w:rsidRPr="00442CB4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it-IT"/>
        </w:rPr>
        <w:t>Argomento:</w:t>
      </w:r>
      <w:r w:rsidRPr="00442CB4">
        <w:rPr>
          <w:rFonts w:ascii="Verdana" w:eastAsia="Times New Roman" w:hAnsi="Verdana" w:cs="Times New Roman"/>
          <w:color w:val="333333"/>
          <w:sz w:val="17"/>
          <w:szCs w:val="17"/>
          <w:lang w:eastAsia="it-IT"/>
        </w:rPr>
        <w:t xml:space="preserve"> </w:t>
      </w:r>
    </w:p>
    <w:p w:rsidR="00442CB4" w:rsidRPr="00442CB4" w:rsidRDefault="00442CB4" w:rsidP="00442CB4">
      <w:pPr>
        <w:shd w:val="clear" w:color="auto" w:fill="FFFFFF"/>
        <w:spacing w:before="48" w:after="48" w:line="240" w:lineRule="auto"/>
        <w:outlineLvl w:val="4"/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it-IT"/>
        </w:rPr>
      </w:pPr>
      <w:r w:rsidRPr="00442CB4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it-IT"/>
        </w:rPr>
        <w:t xml:space="preserve">contributi e </w:t>
      </w:r>
      <w:proofErr w:type="spellStart"/>
      <w:r w:rsidRPr="00442CB4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it-IT"/>
        </w:rPr>
        <w:t>irpef</w:t>
      </w:r>
      <w:proofErr w:type="spellEnd"/>
    </w:p>
    <w:p w:rsidR="00442CB4" w:rsidRPr="00442CB4" w:rsidRDefault="00442CB4" w:rsidP="00442CB4">
      <w:pPr>
        <w:shd w:val="clear" w:color="auto" w:fill="FFFFFF"/>
        <w:spacing w:before="48" w:after="48" w:line="525" w:lineRule="atLeast"/>
        <w:outlineLvl w:val="1"/>
        <w:rPr>
          <w:rFonts w:ascii="Verdana" w:eastAsia="Times New Roman" w:hAnsi="Verdana" w:cs="Times New Roman"/>
          <w:b/>
          <w:bCs/>
          <w:color w:val="333333"/>
          <w:kern w:val="36"/>
          <w:sz w:val="39"/>
          <w:szCs w:val="39"/>
          <w:lang w:eastAsia="it-IT"/>
        </w:rPr>
      </w:pPr>
      <w:r w:rsidRPr="00442CB4">
        <w:rPr>
          <w:rFonts w:ascii="Verdana" w:eastAsia="Times New Roman" w:hAnsi="Verdana" w:cs="Times New Roman"/>
          <w:b/>
          <w:bCs/>
          <w:color w:val="333333"/>
          <w:kern w:val="36"/>
          <w:sz w:val="39"/>
          <w:szCs w:val="39"/>
          <w:lang w:eastAsia="it-IT"/>
        </w:rPr>
        <w:t xml:space="preserve">Contributo di solidarietà: così il prelievo agli iscritti alle gestioni confluite </w:t>
      </w:r>
      <w:proofErr w:type="spellStart"/>
      <w:r w:rsidRPr="00442CB4">
        <w:rPr>
          <w:rFonts w:ascii="Verdana" w:eastAsia="Times New Roman" w:hAnsi="Verdana" w:cs="Times New Roman"/>
          <w:b/>
          <w:bCs/>
          <w:color w:val="333333"/>
          <w:kern w:val="36"/>
          <w:sz w:val="39"/>
          <w:szCs w:val="39"/>
          <w:lang w:eastAsia="it-IT"/>
        </w:rPr>
        <w:t>nell’inps</w:t>
      </w:r>
      <w:proofErr w:type="spellEnd"/>
      <w:r w:rsidRPr="00442CB4">
        <w:rPr>
          <w:rFonts w:ascii="Verdana" w:eastAsia="Times New Roman" w:hAnsi="Verdana" w:cs="Times New Roman"/>
          <w:b/>
          <w:bCs/>
          <w:color w:val="333333"/>
          <w:kern w:val="36"/>
          <w:sz w:val="39"/>
          <w:szCs w:val="39"/>
          <w:lang w:eastAsia="it-IT"/>
        </w:rPr>
        <w:t xml:space="preserve"> </w:t>
      </w:r>
    </w:p>
    <w:p w:rsidR="00442CB4" w:rsidRPr="00442CB4" w:rsidRDefault="00442CB4" w:rsidP="00442CB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it-IT"/>
        </w:rPr>
      </w:pPr>
      <w:r w:rsidRPr="00442CB4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it-IT"/>
        </w:rPr>
        <w:t xml:space="preserve">Guida al Lavoro </w:t>
      </w:r>
      <w:r w:rsidRPr="00442CB4">
        <w:rPr>
          <w:rFonts w:ascii="Verdana" w:eastAsia="Times New Roman" w:hAnsi="Verdana" w:cs="Times New Roman"/>
          <w:color w:val="333333"/>
          <w:sz w:val="17"/>
          <w:szCs w:val="17"/>
          <w:lang w:eastAsia="it-IT"/>
        </w:rPr>
        <w:t xml:space="preserve">- </w:t>
      </w:r>
      <w:r w:rsidRPr="00442CB4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it-IT"/>
        </w:rPr>
        <w:t xml:space="preserve">Per il periodo fra il 1° </w:t>
      </w:r>
      <w:r w:rsidRPr="00442CB4">
        <w:rPr>
          <w:rFonts w:ascii="Verdana" w:eastAsia="Times New Roman" w:hAnsi="Verdana" w:cs="Times New Roman"/>
          <w:color w:val="333333"/>
          <w:sz w:val="17"/>
          <w:szCs w:val="17"/>
          <w:lang w:eastAsia="it-IT"/>
        </w:rPr>
        <w:t xml:space="preserve">gennaio 2012 e il 31 dicembre 2017, è introdotto un contributo di solidarietà dello 0,5% a carico dei lavoratori iscritti ai fondi speciali (trasportatori, elettrici, telefonici, Fondo volo e </w:t>
      </w:r>
      <w:proofErr w:type="spellStart"/>
      <w:r w:rsidRPr="00442CB4">
        <w:rPr>
          <w:rFonts w:ascii="Verdana" w:eastAsia="Times New Roman" w:hAnsi="Verdana" w:cs="Times New Roman"/>
          <w:color w:val="333333"/>
          <w:sz w:val="17"/>
          <w:szCs w:val="17"/>
          <w:lang w:eastAsia="it-IT"/>
        </w:rPr>
        <w:t>Inpdai</w:t>
      </w:r>
      <w:proofErr w:type="spellEnd"/>
      <w:r w:rsidRPr="00442CB4">
        <w:rPr>
          <w:rFonts w:ascii="Verdana" w:eastAsia="Times New Roman" w:hAnsi="Verdana" w:cs="Times New Roman"/>
          <w:color w:val="333333"/>
          <w:sz w:val="17"/>
          <w:szCs w:val="17"/>
          <w:lang w:eastAsia="it-IT"/>
        </w:rPr>
        <w:t xml:space="preserve">). Dopo aver illustrato con messaggio n. 10717 del 26.6.2012 le modalità operative per la trattenuta sul contributo di solidarietà dovuto dai pensionati delle predette gestioni confluite nel </w:t>
      </w:r>
      <w:proofErr w:type="spellStart"/>
      <w:r w:rsidRPr="00442CB4">
        <w:rPr>
          <w:rFonts w:ascii="Verdana" w:eastAsia="Times New Roman" w:hAnsi="Verdana" w:cs="Times New Roman"/>
          <w:color w:val="333333"/>
          <w:sz w:val="17"/>
          <w:szCs w:val="17"/>
          <w:lang w:eastAsia="it-IT"/>
        </w:rPr>
        <w:t>Fpld</w:t>
      </w:r>
      <w:proofErr w:type="spellEnd"/>
      <w:r w:rsidRPr="00442CB4">
        <w:rPr>
          <w:rFonts w:ascii="Verdana" w:eastAsia="Times New Roman" w:hAnsi="Verdana" w:cs="Times New Roman"/>
          <w:color w:val="333333"/>
          <w:sz w:val="17"/>
          <w:szCs w:val="17"/>
          <w:lang w:eastAsia="it-IT"/>
        </w:rPr>
        <w:t>, l’Inps con circolare n. 99 del 18 luglio 2012, detta le istruzioni necessarie per il prelievo, in capo ai lavoratori, del contributo istituito dal Dl n. 201/2011, convertito in legge n. 214/ 2011.</w:t>
      </w:r>
    </w:p>
    <w:p w:rsidR="00442CB4" w:rsidRPr="00442CB4" w:rsidRDefault="00442CB4" w:rsidP="00442CB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it-IT"/>
        </w:rPr>
      </w:pPr>
      <w:r w:rsidRPr="00442CB4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it-IT"/>
        </w:rPr>
        <w:t xml:space="preserve">Il nuovo contributo di solidarietà Al </w:t>
      </w:r>
      <w:r w:rsidRPr="00442CB4">
        <w:rPr>
          <w:rFonts w:ascii="Verdana" w:eastAsia="Times New Roman" w:hAnsi="Verdana" w:cs="Times New Roman"/>
          <w:color w:val="333333"/>
          <w:sz w:val="17"/>
          <w:szCs w:val="17"/>
          <w:lang w:eastAsia="it-IT"/>
        </w:rPr>
        <w:t>comma 21, articolo 24 del Dl n. 201/2011, convertito con modificazioni dalla legge 22.12.2011, n. 214, è stato previsto un nuovo contributo di solidarietà, con decorrenza 1.1.2012, a carico esclusivamente degli iscritti e dei pensionati delle gestioni previdenziali confluite nel Fondo pensioni lavoratori dipendenti a seguito dell’unificazione dei diversi Istituti previdenziali e del Fondo di previdenza per il personale di volo dipendente da aziende di navigazione aerea.</w:t>
      </w:r>
    </w:p>
    <w:p w:rsidR="00442CB4" w:rsidRPr="00442CB4" w:rsidRDefault="00442CB4" w:rsidP="00442CB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it-IT"/>
        </w:rPr>
      </w:pPr>
      <w:r w:rsidRPr="00442CB4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it-IT"/>
        </w:rPr>
        <w:t xml:space="preserve">Tale nuovo contributo, a totale carico </w:t>
      </w:r>
      <w:r w:rsidRPr="00442CB4">
        <w:rPr>
          <w:rFonts w:ascii="Verdana" w:eastAsia="Times New Roman" w:hAnsi="Verdana" w:cs="Times New Roman"/>
          <w:color w:val="333333"/>
          <w:sz w:val="17"/>
          <w:szCs w:val="17"/>
          <w:lang w:eastAsia="it-IT"/>
        </w:rPr>
        <w:t>dei lavoratori e pensionati, si è reso necessario per determinare equamente il concorso degli stessi al riequilibrio dei Fondi. L’ammontare del contributo è determinato in rapporto al periodo di iscrizione antecedente l’armonizzazione contributiva attuata ai sensi della legge n. 335/1995, e alla quota di pensione calcolata in base ai parametri più favorevoli rispetto al regime dell’assicurazione generale obbligatoria. Il periodo interessato per il prelievo di tale contributo aggiuntivo, va dall’1.1.2012 a tutto il 31.12.2017. In merito alle trattenute dovute sui trattamenti pensionistici, l’Istituto si è già espresso con il msg. 26.6.2012, n. 10717 (in Guida al Lavoro n. 28/2012, pag. 92), impartendo le istruzioni sulla applicazione del contributo dal quale restano escluse le pensioni di importo pari o superiore a cinque volte il trattamento minimo Inps, le pensioni e gli assegni di invalidità e le pensioni di inabilità mentre, per le pensioni a carico del Fondo di previdenza per il personale di volo dipendente da aziende di navigazione aerea, l'imponibile di riferimento è al lordo della quota di pensione capitalizzata al momento del pensionamento.</w:t>
      </w:r>
    </w:p>
    <w:p w:rsidR="00442CB4" w:rsidRPr="00442CB4" w:rsidRDefault="00442CB4" w:rsidP="00442CB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it-IT"/>
        </w:rPr>
      </w:pPr>
      <w:r w:rsidRPr="00442CB4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it-IT"/>
        </w:rPr>
        <w:t xml:space="preserve">Per i soggetti iscritti alle gestioni </w:t>
      </w:r>
      <w:r w:rsidRPr="00442CB4">
        <w:rPr>
          <w:rFonts w:ascii="Verdana" w:eastAsia="Times New Roman" w:hAnsi="Verdana" w:cs="Times New Roman"/>
          <w:color w:val="333333"/>
          <w:sz w:val="17"/>
          <w:szCs w:val="17"/>
          <w:lang w:eastAsia="it-IT"/>
        </w:rPr>
        <w:t>previdenziali, la circ. n. 99/2012, individua sia i soggetti obbligati, sia le modalità operative.</w:t>
      </w:r>
      <w:r w:rsidRPr="00442CB4">
        <w:rPr>
          <w:rFonts w:ascii="Verdana" w:eastAsia="Times New Roman" w:hAnsi="Verdana" w:cs="Times New Roman"/>
          <w:color w:val="333333"/>
          <w:sz w:val="17"/>
          <w:szCs w:val="17"/>
          <w:lang w:eastAsia="it-IT"/>
        </w:rPr>
        <w:br/>
        <w:t xml:space="preserve">Soggetti obbligati e misura del contributo di solidarietà dal 1° gennaio 2012 Sono soggetti al prelievo i lavoratori iscritti alle gestioni previdenziali: ex Fondo Trasporti; ex Fondo elettrici; ex Fondo telefonici; ex </w:t>
      </w:r>
      <w:proofErr w:type="spellStart"/>
      <w:r w:rsidRPr="00442CB4">
        <w:rPr>
          <w:rFonts w:ascii="Verdana" w:eastAsia="Times New Roman" w:hAnsi="Verdana" w:cs="Times New Roman"/>
          <w:color w:val="333333"/>
          <w:sz w:val="17"/>
          <w:szCs w:val="17"/>
          <w:lang w:eastAsia="it-IT"/>
        </w:rPr>
        <w:t>Inpdai</w:t>
      </w:r>
      <w:proofErr w:type="spellEnd"/>
      <w:r w:rsidRPr="00442CB4">
        <w:rPr>
          <w:rFonts w:ascii="Verdana" w:eastAsia="Times New Roman" w:hAnsi="Verdana" w:cs="Times New Roman"/>
          <w:color w:val="333333"/>
          <w:sz w:val="17"/>
          <w:szCs w:val="17"/>
          <w:lang w:eastAsia="it-IT"/>
        </w:rPr>
        <w:t>; Fondo volo.</w:t>
      </w:r>
    </w:p>
    <w:p w:rsidR="00442CB4" w:rsidRPr="00442CB4" w:rsidRDefault="00442CB4" w:rsidP="00442CB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it-IT"/>
        </w:rPr>
      </w:pPr>
      <w:r w:rsidRPr="00442CB4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it-IT"/>
        </w:rPr>
        <w:t xml:space="preserve">La percentuale stabilita per il contributo </w:t>
      </w:r>
      <w:r w:rsidRPr="00442CB4">
        <w:rPr>
          <w:rFonts w:ascii="Verdana" w:eastAsia="Times New Roman" w:hAnsi="Verdana" w:cs="Times New Roman"/>
          <w:color w:val="333333"/>
          <w:sz w:val="17"/>
          <w:szCs w:val="17"/>
          <w:lang w:eastAsia="it-IT"/>
        </w:rPr>
        <w:t>di solidarietà che, ricordiamo, è a esclusivo carico dei lavoratori, ammonta allo 0,50% della retribuzione imponibile e, ricorrendone i presupposti, sarà dovuta per il periodo (...)</w:t>
      </w:r>
    </w:p>
    <w:p w:rsidR="00771EE3" w:rsidRDefault="00771EE3"/>
    <w:sectPr w:rsidR="00771E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CB4"/>
    <w:rsid w:val="00442CB4"/>
    <w:rsid w:val="0077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5">
    <w:name w:val="heading 5"/>
    <w:basedOn w:val="Normale"/>
    <w:link w:val="Titolo5Carattere"/>
    <w:uiPriority w:val="9"/>
    <w:qFormat/>
    <w:rsid w:val="00442CB4"/>
    <w:pPr>
      <w:spacing w:before="48" w:after="48" w:line="240" w:lineRule="auto"/>
      <w:outlineLvl w:val="4"/>
    </w:pPr>
    <w:rPr>
      <w:rFonts w:ascii="Times New Roman" w:eastAsia="Times New Roman" w:hAnsi="Times New Roman" w:cs="Times New Roman"/>
      <w:b/>
      <w:bCs/>
      <w:sz w:val="17"/>
      <w:szCs w:val="1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"/>
    <w:rsid w:val="00442CB4"/>
    <w:rPr>
      <w:rFonts w:ascii="Times New Roman" w:eastAsia="Times New Roman" w:hAnsi="Times New Roman" w:cs="Times New Roman"/>
      <w:b/>
      <w:bCs/>
      <w:sz w:val="17"/>
      <w:szCs w:val="17"/>
      <w:lang w:eastAsia="it-IT"/>
    </w:rPr>
  </w:style>
  <w:style w:type="character" w:styleId="Enfasigrassetto">
    <w:name w:val="Strong"/>
    <w:basedOn w:val="Carpredefinitoparagrafo"/>
    <w:uiPriority w:val="22"/>
    <w:qFormat/>
    <w:rsid w:val="00442CB4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442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5">
    <w:name w:val="heading 5"/>
    <w:basedOn w:val="Normale"/>
    <w:link w:val="Titolo5Carattere"/>
    <w:uiPriority w:val="9"/>
    <w:qFormat/>
    <w:rsid w:val="00442CB4"/>
    <w:pPr>
      <w:spacing w:before="48" w:after="48" w:line="240" w:lineRule="auto"/>
      <w:outlineLvl w:val="4"/>
    </w:pPr>
    <w:rPr>
      <w:rFonts w:ascii="Times New Roman" w:eastAsia="Times New Roman" w:hAnsi="Times New Roman" w:cs="Times New Roman"/>
      <w:b/>
      <w:bCs/>
      <w:sz w:val="17"/>
      <w:szCs w:val="1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"/>
    <w:rsid w:val="00442CB4"/>
    <w:rPr>
      <w:rFonts w:ascii="Times New Roman" w:eastAsia="Times New Roman" w:hAnsi="Times New Roman" w:cs="Times New Roman"/>
      <w:b/>
      <w:bCs/>
      <w:sz w:val="17"/>
      <w:szCs w:val="17"/>
      <w:lang w:eastAsia="it-IT"/>
    </w:rPr>
  </w:style>
  <w:style w:type="character" w:styleId="Enfasigrassetto">
    <w:name w:val="Strong"/>
    <w:basedOn w:val="Carpredefinitoparagrafo"/>
    <w:uiPriority w:val="22"/>
    <w:qFormat/>
    <w:rsid w:val="00442CB4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442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2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1231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25065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83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9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702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325462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3993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243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Telecom Italia S.p.A.</Company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Berola Paola Maria</dc:creator>
  <cp:keywords/>
  <dc:description/>
  <cp:lastModifiedBy>Berola Paola Maria</cp:lastModifiedBy>
  <cp:revision>1</cp:revision>
  <dcterms:created xsi:type="dcterms:W3CDTF">2012-09-06T08:06:00Z</dcterms:created>
  <dcterms:modified xsi:type="dcterms:W3CDTF">2012-09-06T08:06:00Z</dcterms:modified>
</cp:coreProperties>
</file>