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E3" w:rsidRDefault="007A12E3" w:rsidP="007A12E3">
      <w:pPr>
        <w:pStyle w:val="occhiello"/>
      </w:pPr>
      <w:bookmarkStart w:id="0" w:name="_GoBack"/>
      <w:bookmarkEnd w:id="0"/>
      <w:r>
        <w:t xml:space="preserve">L'ANNUNCIO </w:t>
      </w:r>
      <w:r>
        <w:rPr>
          <w:noProof/>
        </w:rPr>
        <w:drawing>
          <wp:inline distT="0" distB="0" distL="0" distR="0">
            <wp:extent cx="5505450" cy="638175"/>
            <wp:effectExtent l="0" t="0" r="0" b="9525"/>
            <wp:docPr id="2" name="Immagine 2" descr="cid:part2.09000209.09050806@tin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09000209.09050806@tin.i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E3" w:rsidRDefault="007A12E3" w:rsidP="007A12E3">
      <w:pPr>
        <w:pStyle w:val="Titolo2"/>
        <w:rPr>
          <w:rFonts w:eastAsia="Times New Roman"/>
        </w:rPr>
      </w:pPr>
      <w:r>
        <w:rPr>
          <w:rFonts w:eastAsia="Times New Roman"/>
        </w:rPr>
        <w:t>L'annuncio del presidente esecutivo che si dice disponibile ad approfondire aspetti negativi e positivi dello scorporo. Ma "il controllo resterà nostro"</w:t>
      </w:r>
    </w:p>
    <w:p w:rsidR="007A12E3" w:rsidRDefault="007A12E3" w:rsidP="007A12E3">
      <w:pPr>
        <w:rPr>
          <w:rFonts w:eastAsia="Times New Roman"/>
        </w:rPr>
      </w:pPr>
      <w:r>
        <w:rPr>
          <w:rFonts w:eastAsia="Times New Roman"/>
        </w:rPr>
        <w:t xml:space="preserve">di Gildo </w:t>
      </w:r>
      <w:proofErr w:type="spellStart"/>
      <w:r>
        <w:rPr>
          <w:rFonts w:eastAsia="Times New Roman"/>
        </w:rPr>
        <w:t>Campesato</w:t>
      </w:r>
      <w:proofErr w:type="spellEnd"/>
    </w:p>
    <w:p w:rsidR="007A12E3" w:rsidRDefault="007A12E3" w:rsidP="007A12E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286250" cy="2990850"/>
            <wp:effectExtent l="0" t="0" r="0" b="0"/>
            <wp:docPr id="1" name="Immagine 1" descr="cid:part3.04090406.06080001@tin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3.04090406.06080001@tin.i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E3" w:rsidRDefault="007A12E3" w:rsidP="007A12E3">
      <w:pPr>
        <w:pStyle w:val="NormaleWeb"/>
      </w:pPr>
      <w:r>
        <w:rPr>
          <w:rStyle w:val="Enfasigrassetto"/>
        </w:rPr>
        <w:t>Telecom Italia</w:t>
      </w:r>
      <w:r>
        <w:t xml:space="preserve">, lo scorporo della rete è assai di più che un’ipotesi astratta. È una prospettiva molto concreta su cui il top management dell’operatore telefonico sta lavorando con molto impegno. “Stiamo guardando con grande attenzione e serietà alla possibilità di fare un passo che nessun altro </w:t>
      </w:r>
      <w:proofErr w:type="spellStart"/>
      <w:r>
        <w:t>incumbent</w:t>
      </w:r>
      <w:proofErr w:type="spellEnd"/>
      <w:r>
        <w:t xml:space="preserve"> al mondo ha fatto sinora”, ha spiegato oggi il presidente esecutivo </w:t>
      </w:r>
      <w:r>
        <w:rPr>
          <w:rStyle w:val="Enfasigrassetto"/>
        </w:rPr>
        <w:t>Franco Bernabè</w:t>
      </w:r>
      <w:r>
        <w:t xml:space="preserve"> presentando a Torino i piani e le tecnologie di sviluppo del broadband nei prossimi anni in Italia.</w:t>
      </w:r>
    </w:p>
    <w:p w:rsidR="007A12E3" w:rsidRDefault="007A12E3" w:rsidP="007A12E3">
      <w:pPr>
        <w:pStyle w:val="NormaleWeb"/>
      </w:pPr>
      <w:r>
        <w:t xml:space="preserve">Non cambiano i “paletti” già emersi nelle scorse settimane per portare avanti l’operazione (ottenere il controllo della maggioranza del capitale della nuova società della rete e una valorizzazione adeguata dell’infrastruttura conferita alla </w:t>
      </w:r>
      <w:proofErr w:type="spellStart"/>
      <w:r>
        <w:t>newco</w:t>
      </w:r>
      <w:proofErr w:type="spellEnd"/>
      <w:r>
        <w:t xml:space="preserve">). Sta però cambiando, drasticamente, il quadro </w:t>
      </w:r>
      <w:proofErr w:type="spellStart"/>
      <w:r>
        <w:t>regolatorio</w:t>
      </w:r>
      <w:proofErr w:type="spellEnd"/>
      <w:r>
        <w:t xml:space="preserve"> su cui </w:t>
      </w:r>
      <w:r>
        <w:rPr>
          <w:rStyle w:val="Enfasigrassetto"/>
        </w:rPr>
        <w:t xml:space="preserve">Telecom Italia </w:t>
      </w:r>
      <w:r>
        <w:t>dovrebbe potere operare in futuro. Ed è proprio questo a rendere interessante un’operazione che soltanto qualche mese fa appariva come una penalizzazione per T</w:t>
      </w:r>
      <w:r>
        <w:rPr>
          <w:rStyle w:val="Enfasigrassetto"/>
        </w:rPr>
        <w:t>elecom Italia</w:t>
      </w:r>
      <w:r>
        <w:t>.</w:t>
      </w:r>
    </w:p>
    <w:p w:rsidR="007A12E3" w:rsidRDefault="007A12E3" w:rsidP="007A12E3">
      <w:pPr>
        <w:pStyle w:val="NormaleWeb"/>
      </w:pPr>
      <w:r>
        <w:t xml:space="preserve">A smuovere le acque è stata ad inizio estate la commissaria europea all’Agenda digitale </w:t>
      </w:r>
      <w:proofErr w:type="spellStart"/>
      <w:r>
        <w:rPr>
          <w:rStyle w:val="Enfasigrassetto"/>
        </w:rPr>
        <w:t>Neelie</w:t>
      </w:r>
      <w:proofErr w:type="spellEnd"/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Kroes</w:t>
      </w:r>
      <w:proofErr w:type="spellEnd"/>
      <w:r>
        <w:t xml:space="preserve"> quando ha avviato la procedura per la messa a punto di un </w:t>
      </w:r>
      <w:hyperlink r:id="rId9" w:history="1">
        <w:proofErr w:type="spellStart"/>
        <w:r>
          <w:rPr>
            <w:rStyle w:val="Collegamentoipertestuale"/>
            <w:b/>
            <w:bCs/>
          </w:rPr>
          <w:t>framework</w:t>
        </w:r>
        <w:proofErr w:type="spellEnd"/>
        <w:r>
          <w:rPr>
            <w:rStyle w:val="Collegamentoipertestuale"/>
            <w:b/>
            <w:bCs/>
          </w:rPr>
          <w:t xml:space="preserve"> </w:t>
        </w:r>
        <w:proofErr w:type="spellStart"/>
        <w:r>
          <w:rPr>
            <w:rStyle w:val="Collegamentoipertestuale"/>
            <w:b/>
            <w:bCs/>
          </w:rPr>
          <w:t>regolatorio</w:t>
        </w:r>
        <w:proofErr w:type="spellEnd"/>
      </w:hyperlink>
      <w:r>
        <w:t xml:space="preserve"> del tutto diverso dall’attuale. Tre i pilastri su cui si baserà la nuova normativa: riconoscimento del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nelle nuove reti piuttosto che tariffe orientate ai soli costi come oggi; prezzi del rame non più penalizzanti ed in calo per i possessori della rete tradizionale (garantendo così il cash flow per gli investimenti nelle </w:t>
      </w:r>
      <w:proofErr w:type="spellStart"/>
      <w:r>
        <w:t>Ngan</w:t>
      </w:r>
      <w:proofErr w:type="spellEnd"/>
      <w:r>
        <w:t xml:space="preserve">); stabilità </w:t>
      </w:r>
      <w:proofErr w:type="spellStart"/>
      <w:r>
        <w:t>regolatoria</w:t>
      </w:r>
      <w:proofErr w:type="spellEnd"/>
      <w:r>
        <w:t xml:space="preserve"> fino al 2020.</w:t>
      </w:r>
    </w:p>
    <w:p w:rsidR="007A12E3" w:rsidRDefault="007A12E3" w:rsidP="007A12E3">
      <w:pPr>
        <w:pStyle w:val="NormaleWeb"/>
      </w:pPr>
      <w:r>
        <w:lastRenderedPageBreak/>
        <w:t xml:space="preserve">La giravolta della </w:t>
      </w:r>
      <w:proofErr w:type="spellStart"/>
      <w:r>
        <w:rPr>
          <w:rStyle w:val="Enfasigrassetto"/>
        </w:rPr>
        <w:t>Kroes</w:t>
      </w:r>
      <w:proofErr w:type="spellEnd"/>
      <w:r>
        <w:t xml:space="preserve"> non deve stupire: gli obiettivi dell’</w:t>
      </w:r>
      <w:r>
        <w:rPr>
          <w:rStyle w:val="Enfasigrassetto"/>
        </w:rPr>
        <w:t>Agenda digitale</w:t>
      </w:r>
      <w:r>
        <w:t xml:space="preserve"> europea sono molto ambiziosi ma gli investimenti degli </w:t>
      </w:r>
      <w:proofErr w:type="spellStart"/>
      <w:r>
        <w:t>incumbent</w:t>
      </w:r>
      <w:proofErr w:type="spellEnd"/>
      <w:r>
        <w:t xml:space="preserve"> (indispensabili per movimentare le grandi somme necessarie per realizzare le nuove reti) si sono fatti vedere con molta lentezza. Col tipico pragmatismo olandese, </w:t>
      </w:r>
      <w:proofErr w:type="spellStart"/>
      <w:r>
        <w:rPr>
          <w:rStyle w:val="Enfasigrassetto"/>
        </w:rPr>
        <w:t>Neelie</w:t>
      </w:r>
      <w:proofErr w:type="spellEnd"/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Kroes</w:t>
      </w:r>
      <w:proofErr w:type="spellEnd"/>
      <w:r>
        <w:t xml:space="preserve"> ha deciso di cambiare strada puntando sull’</w:t>
      </w:r>
      <w:proofErr w:type="spellStart"/>
      <w:r>
        <w:t>equality</w:t>
      </w:r>
      <w:proofErr w:type="spellEnd"/>
      <w:r>
        <w:t xml:space="preserve"> of input, la parità delle condizioni di accesso per tutti gli operatori: </w:t>
      </w:r>
      <w:proofErr w:type="spellStart"/>
      <w:r>
        <w:t>Olo</w:t>
      </w:r>
      <w:proofErr w:type="spellEnd"/>
      <w:r>
        <w:t xml:space="preserve"> o </w:t>
      </w:r>
      <w:proofErr w:type="spellStart"/>
      <w:r>
        <w:t>incumbent</w:t>
      </w:r>
      <w:proofErr w:type="spellEnd"/>
      <w:r>
        <w:t xml:space="preserve"> che siano.</w:t>
      </w:r>
    </w:p>
    <w:p w:rsidR="007A12E3" w:rsidRDefault="007A12E3" w:rsidP="007A12E3">
      <w:pPr>
        <w:pStyle w:val="NormaleWeb"/>
      </w:pPr>
      <w:r>
        <w:t xml:space="preserve">Le conseguenze per </w:t>
      </w:r>
      <w:r>
        <w:rPr>
          <w:rStyle w:val="Enfasigrassetto"/>
        </w:rPr>
        <w:t>Telecom Italia</w:t>
      </w:r>
      <w:r>
        <w:t xml:space="preserve"> sono evidenti: possibilità di rendere economicamente convenienti gli investimenti nelle nuove reti (innanzitutto accelerando il </w:t>
      </w:r>
      <w:proofErr w:type="spellStart"/>
      <w:r>
        <w:t>deployment</w:t>
      </w:r>
      <w:proofErr w:type="spellEnd"/>
      <w:r>
        <w:t xml:space="preserve"> del </w:t>
      </w:r>
      <w:proofErr w:type="spellStart"/>
      <w:r>
        <w:t>Fiber</w:t>
      </w:r>
      <w:proofErr w:type="spellEnd"/>
      <w:r>
        <w:t xml:space="preserve"> to the cabinet integrato dall’</w:t>
      </w:r>
      <w:proofErr w:type="spellStart"/>
      <w:r>
        <w:t>Ftth</w:t>
      </w:r>
      <w:proofErr w:type="spellEnd"/>
      <w:r>
        <w:t xml:space="preserve"> nelle aree di mercato più interessanti); valorizzazione della rete in rame che, come mostra l’evoluzione tecnologica di questi anni è tutt’altro che afflitta da osteoporosi. Piuttosto, sta mostrando sette vite come i gatti anche per la continua evoluzione tecnologica: dall’attuale </w:t>
      </w:r>
      <w:proofErr w:type="spellStart"/>
      <w:r>
        <w:t>vectoring</w:t>
      </w:r>
      <w:proofErr w:type="spellEnd"/>
      <w:r>
        <w:t xml:space="preserve"> (promette 100 </w:t>
      </w:r>
      <w:proofErr w:type="spellStart"/>
      <w:r>
        <w:t>Mbit</w:t>
      </w:r>
      <w:proofErr w:type="spellEnd"/>
      <w:r>
        <w:t xml:space="preserve">/s in </w:t>
      </w:r>
      <w:proofErr w:type="spellStart"/>
      <w:r>
        <w:t>downsream</w:t>
      </w:r>
      <w:proofErr w:type="spellEnd"/>
      <w:r>
        <w:t>) che accompagnerà lo sviluppo immediato dell’</w:t>
      </w:r>
      <w:proofErr w:type="spellStart"/>
      <w:r>
        <w:t>FTTcab</w:t>
      </w:r>
      <w:proofErr w:type="spellEnd"/>
      <w:r>
        <w:t xml:space="preserve"> al futuribile </w:t>
      </w:r>
      <w:proofErr w:type="spellStart"/>
      <w:r>
        <w:t>G.Fast</w:t>
      </w:r>
      <w:proofErr w:type="spellEnd"/>
      <w:r>
        <w:t xml:space="preserve"> (1 </w:t>
      </w:r>
      <w:proofErr w:type="spellStart"/>
      <w:r>
        <w:t>Gbit</w:t>
      </w:r>
      <w:proofErr w:type="spellEnd"/>
      <w:r>
        <w:t>/s), tutti basati sull’accesso in rame.</w:t>
      </w:r>
    </w:p>
    <w:p w:rsidR="007A12E3" w:rsidRDefault="007A12E3" w:rsidP="007A12E3">
      <w:pPr>
        <w:pStyle w:val="NormaleWeb"/>
      </w:pPr>
      <w:r>
        <w:rPr>
          <w:rStyle w:val="Enfasigrassetto"/>
        </w:rPr>
        <w:t>Telecom Italia</w:t>
      </w:r>
      <w:r>
        <w:t xml:space="preserve"> è già partita (entro il prossimo anno cablerà un centinaio di città in </w:t>
      </w:r>
      <w:proofErr w:type="spellStart"/>
      <w:r>
        <w:t>ultrabroadband</w:t>
      </w:r>
      <w:proofErr w:type="spellEnd"/>
      <w:r>
        <w:t xml:space="preserve">: il ritmo attuale è di 5.000 nuovi utenti al giorno collegati in </w:t>
      </w:r>
      <w:proofErr w:type="spellStart"/>
      <w:r>
        <w:t>FTTcab</w:t>
      </w:r>
      <w:proofErr w:type="spellEnd"/>
      <w:r>
        <w:t>) ma si trova le mani legate proprio da obblighi regolatori troppo stringenti. Un esempio: ad inizio aprile TI ha presentato all’</w:t>
      </w:r>
      <w:r>
        <w:rPr>
          <w:rStyle w:val="Enfasigrassetto"/>
        </w:rPr>
        <w:t>Agcom</w:t>
      </w:r>
      <w:r>
        <w:t xml:space="preserve"> la propria proposta di offerta </w:t>
      </w:r>
      <w:proofErr w:type="spellStart"/>
      <w:r>
        <w:t>wholesale</w:t>
      </w:r>
      <w:proofErr w:type="spellEnd"/>
      <w:r>
        <w:t xml:space="preserve"> per le </w:t>
      </w:r>
      <w:proofErr w:type="spellStart"/>
      <w:r>
        <w:t>Ngan</w:t>
      </w:r>
      <w:proofErr w:type="spellEnd"/>
      <w:r>
        <w:t>. Sono passati molti mesi, ma manca ancora la risposta per potere presentare l’offerta commerciale al mercato e chissà quando arriverà.</w:t>
      </w:r>
    </w:p>
    <w:p w:rsidR="007A12E3" w:rsidRDefault="007A12E3" w:rsidP="007A12E3">
      <w:pPr>
        <w:pStyle w:val="NormaleWeb"/>
      </w:pPr>
      <w:r>
        <w:t xml:space="preserve">“Subiamo vincoli troppo rigidi nell’impostare le nostre campagne commerciali – spiega </w:t>
      </w:r>
      <w:r>
        <w:rPr>
          <w:rStyle w:val="Enfasigrassetto"/>
        </w:rPr>
        <w:t>Franco Bernabè</w:t>
      </w:r>
      <w:r>
        <w:t xml:space="preserve"> – se vogliamo fare un’offerta </w:t>
      </w:r>
      <w:proofErr w:type="spellStart"/>
      <w:r>
        <w:t>retail</w:t>
      </w:r>
      <w:proofErr w:type="spellEnd"/>
      <w:r>
        <w:t xml:space="preserve"> dobbiamo prima </w:t>
      </w:r>
      <w:proofErr w:type="spellStart"/>
      <w:r>
        <w:t>pesentare</w:t>
      </w:r>
      <w:proofErr w:type="spellEnd"/>
      <w:r>
        <w:t xml:space="preserve"> all’</w:t>
      </w:r>
      <w:r>
        <w:rPr>
          <w:rStyle w:val="Enfasigrassetto"/>
        </w:rPr>
        <w:t>Agcom</w:t>
      </w:r>
      <w:r>
        <w:t xml:space="preserve"> un’offerta </w:t>
      </w:r>
      <w:proofErr w:type="spellStart"/>
      <w:r>
        <w:t>wholesale</w:t>
      </w:r>
      <w:proofErr w:type="spellEnd"/>
      <w:r>
        <w:t xml:space="preserve"> dedicata agli altri operatori; quindi dobbiamo aspettare che </w:t>
      </w:r>
      <w:r>
        <w:rPr>
          <w:rStyle w:val="Enfasigrassetto"/>
        </w:rPr>
        <w:t>Agcom</w:t>
      </w:r>
      <w:r>
        <w:t xml:space="preserve"> faccia le sue valutazioni e soltanto dopo possiamo partire. Spesso passano mesi, col risultato di togliere mordente alle nostre campagne”. “Troppi vincoli, troppe incertezze </w:t>
      </w:r>
      <w:proofErr w:type="spellStart"/>
      <w:r>
        <w:t>regolatorie</w:t>
      </w:r>
      <w:proofErr w:type="spellEnd"/>
      <w:r>
        <w:t xml:space="preserve"> non ci consentono di essere veloci, reattivi, performanti”, aggiunge il presidente operativo di </w:t>
      </w:r>
      <w:r>
        <w:rPr>
          <w:rStyle w:val="Enfasigrassetto"/>
        </w:rPr>
        <w:t>Telecom Italia</w:t>
      </w:r>
      <w:r>
        <w:t>.</w:t>
      </w:r>
    </w:p>
    <w:p w:rsidR="007A12E3" w:rsidRDefault="007A12E3" w:rsidP="007A12E3">
      <w:pPr>
        <w:pStyle w:val="NormaleWeb"/>
      </w:pPr>
      <w:r>
        <w:t xml:space="preserve">Se si facesse una società della rete separata, che garantisce a tutti le stesse condizioni di accesso, </w:t>
      </w:r>
      <w:r>
        <w:rPr>
          <w:rStyle w:val="Enfasigrassetto"/>
        </w:rPr>
        <w:t>Telecom Italia</w:t>
      </w:r>
      <w:r>
        <w:t xml:space="preserve"> avrebbe le mani commerciali decisamente più libere. E se il prezzo da pagare fosse lo scorporo della rete, senza ovviamente perderne il controllo, Bernabè appare disponibile a pagarlo ben volentieri. Ovviamente, prima di muoversi vuole certezze. La nuova direttiva Ue dovrebbe arrivare ad inizio del prossimo anno, mentre in Italia l’</w:t>
      </w:r>
      <w:r>
        <w:rPr>
          <w:rStyle w:val="Enfasigrassetto"/>
        </w:rPr>
        <w:t>Agcom</w:t>
      </w:r>
      <w:r>
        <w:t xml:space="preserve"> dovrebbe avviare una nuova analisi di mercato. Ci vorrà del tempo. </w:t>
      </w:r>
      <w:r>
        <w:rPr>
          <w:rStyle w:val="Enfasigrassetto"/>
        </w:rPr>
        <w:t>Franco Bernabè</w:t>
      </w:r>
      <w:r>
        <w:t xml:space="preserve"> lo sa ma è pronto ad accelerare le decisioni, se ci saranno le condizioni: “Abbiamo una profonda disponibilità ad approfondire tutti gli aspetti positivi e negativi – osserva –. Non vogliamo attendere che tutte le regole siano definite, ma ovviamente vogliamo avere ragionevoli certezze sull’evoluzione e sulla stabilità del quadro </w:t>
      </w:r>
      <w:proofErr w:type="spellStart"/>
      <w:r>
        <w:t>regolatorio</w:t>
      </w:r>
      <w:proofErr w:type="spellEnd"/>
      <w:r>
        <w:t>. Entro fine anno decideremo se andare avanti o meno. La nostra, comunque, non sarà una scelta finanziaria ma industriale, da cui tutto il Paese potrà avere vantaggi”.</w:t>
      </w:r>
    </w:p>
    <w:p w:rsidR="007A12E3" w:rsidRDefault="007A12E3" w:rsidP="007A12E3">
      <w:pPr>
        <w:pStyle w:val="NormaleWeb"/>
      </w:pPr>
      <w:r>
        <w:t xml:space="preserve">Nel viaggio verso lo scorporo della rete, se mai si farà, Telecom Italia non intende ballare da sola. “Il dialogo con la </w:t>
      </w:r>
      <w:r>
        <w:rPr>
          <w:rStyle w:val="Enfasigrassetto"/>
        </w:rPr>
        <w:t>Cassa Depositi e Prestiti</w:t>
      </w:r>
      <w:r>
        <w:t xml:space="preserve"> è sempre aperto, ma vi sono anche molti fondi internazionali che potrebbero essere interessati ad investire nella nuova società della rete”, spiega Bernabè.</w:t>
      </w:r>
    </w:p>
    <w:p w:rsidR="007A12E3" w:rsidRDefault="007A12E3" w:rsidP="007A12E3">
      <w:pPr>
        <w:pStyle w:val="NormaleWeb"/>
      </w:pPr>
      <w:r>
        <w:t> </w:t>
      </w:r>
    </w:p>
    <w:p w:rsidR="007A12E3" w:rsidRDefault="007A12E3" w:rsidP="007A12E3">
      <w:pPr>
        <w:pStyle w:val="data-post"/>
      </w:pPr>
      <w:r>
        <w:t xml:space="preserve">18 Settembre 2012 </w:t>
      </w:r>
    </w:p>
    <w:p w:rsidR="000552AD" w:rsidRDefault="000552AD"/>
    <w:sectPr w:rsidR="00055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E3"/>
    <w:rsid w:val="000552AD"/>
    <w:rsid w:val="007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2E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7A12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2E3"/>
    <w:rPr>
      <w:rFonts w:ascii="Times New Roman" w:hAnsi="Times New Roman" w:cs="Times New Roman"/>
      <w:b/>
      <w:bCs/>
      <w:color w:val="000000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A12E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A12E3"/>
    <w:pPr>
      <w:spacing w:before="100" w:beforeAutospacing="1" w:after="100" w:afterAutospacing="1"/>
    </w:pPr>
  </w:style>
  <w:style w:type="paragraph" w:customStyle="1" w:styleId="occhiello">
    <w:name w:val="occhiello"/>
    <w:basedOn w:val="Normale"/>
    <w:uiPriority w:val="99"/>
    <w:semiHidden/>
    <w:rsid w:val="007A12E3"/>
    <w:pPr>
      <w:spacing w:before="100" w:beforeAutospacing="1" w:after="100" w:afterAutospacing="1"/>
    </w:pPr>
  </w:style>
  <w:style w:type="paragraph" w:customStyle="1" w:styleId="data-post">
    <w:name w:val="data-post"/>
    <w:basedOn w:val="Normale"/>
    <w:uiPriority w:val="99"/>
    <w:semiHidden/>
    <w:rsid w:val="007A12E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A12E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2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2E3"/>
    <w:rPr>
      <w:rFonts w:ascii="Tahoma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2E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7A12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2E3"/>
    <w:rPr>
      <w:rFonts w:ascii="Times New Roman" w:hAnsi="Times New Roman" w:cs="Times New Roman"/>
      <w:b/>
      <w:bCs/>
      <w:color w:val="000000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A12E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A12E3"/>
    <w:pPr>
      <w:spacing w:before="100" w:beforeAutospacing="1" w:after="100" w:afterAutospacing="1"/>
    </w:pPr>
  </w:style>
  <w:style w:type="paragraph" w:customStyle="1" w:styleId="occhiello">
    <w:name w:val="occhiello"/>
    <w:basedOn w:val="Normale"/>
    <w:uiPriority w:val="99"/>
    <w:semiHidden/>
    <w:rsid w:val="007A12E3"/>
    <w:pPr>
      <w:spacing w:before="100" w:beforeAutospacing="1" w:after="100" w:afterAutospacing="1"/>
    </w:pPr>
  </w:style>
  <w:style w:type="paragraph" w:customStyle="1" w:styleId="data-post">
    <w:name w:val="data-post"/>
    <w:basedOn w:val="Normale"/>
    <w:uiPriority w:val="99"/>
    <w:semiHidden/>
    <w:rsid w:val="007A12E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A12E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2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2E3"/>
    <w:rPr>
      <w:rFonts w:ascii="Tahoma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3.04090406.06080001@ti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2.09000209.09050806@tin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rrierecomunicazioni.it/tlc/16436_neelie-kroes-abbassare-prezzi-rame-non-spinge-le-ngn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Berola Paola Maria</dc:creator>
  <cp:keywords/>
  <dc:description/>
  <cp:lastModifiedBy>Berola Paola Maria</cp:lastModifiedBy>
  <cp:revision>1</cp:revision>
  <dcterms:created xsi:type="dcterms:W3CDTF">2012-09-19T07:38:00Z</dcterms:created>
  <dcterms:modified xsi:type="dcterms:W3CDTF">2012-09-19T07:39:00Z</dcterms:modified>
</cp:coreProperties>
</file>